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附件：报价格式</w:t>
      </w:r>
    </w:p>
    <w:p>
      <w:pPr>
        <w:wordWrap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内部控制与合规管理体系建设服务报价单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单位名称：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865"/>
        <w:gridCol w:w="226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主要工作内容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报价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一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.......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二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.......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三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865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.......</w:t>
            </w:r>
          </w:p>
        </w:tc>
        <w:tc>
          <w:tcPr>
            <w:tcW w:w="2865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合计</w:t>
            </w:r>
          </w:p>
        </w:tc>
        <w:tc>
          <w:tcPr>
            <w:tcW w:w="2865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/>
    <w:sectPr>
      <w:footerReference r:id="rId3" w:type="default"/>
      <w:pgSz w:w="11906" w:h="16838"/>
      <w:pgMar w:top="2098" w:right="1531" w:bottom="187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YjcwN2I4Y2RhM2RmYzVjMjg1M2FjNTEwMzVjMDAifQ=="/>
  </w:docVars>
  <w:rsids>
    <w:rsidRoot w:val="00000000"/>
    <w:rsid w:val="11054A9A"/>
    <w:rsid w:val="36EC6AFC"/>
    <w:rsid w:val="5AB3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74</Characters>
  <Lines>0</Lines>
  <Paragraphs>0</Paragraphs>
  <TotalTime>0</TotalTime>
  <ScaleCrop>false</ScaleCrop>
  <LinksUpToDate>false</LinksUpToDate>
  <CharactersWithSpaces>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2022-11-26T10:19:00Z</dcterms:created>
  <dc:creator>Administrator</dc:creator>
  <cp:lastModifiedBy>景钰朝</cp:lastModifiedBy>
  <dcterms:modified xsi:type="dcterms:W3CDTF">2023-05-24T06:32:00Z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DF319D87A1D541DE9E4EDC22F3209735_13</vt:lpwstr>
  </property>
</Properties>
</file>